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D6776B" w:rsidRDefault="0061381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AH18-IT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bookmarkStart w:id="0" w:name="_GoBack"/>
      <w:r w:rsidR="005F1C12">
        <w:rPr>
          <w:rFonts w:cstheme="minorHAnsi"/>
          <w:b/>
          <w:bCs/>
          <w:sz w:val="20"/>
          <w:szCs w:val="20"/>
          <w:lang w:val="en-US"/>
        </w:rPr>
        <w:t>NUTRISPRAY</w:t>
      </w:r>
      <w:bookmarkEnd w:id="0"/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5C43EE" w:rsidRDefault="005F1C12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NUTRISPRAY</w:t>
      </w:r>
    </w:p>
    <w:p w:rsidR="00437D33" w:rsidRPr="00695BDF" w:rsidRDefault="00437D33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437D33" w:rsidRDefault="005F1C12" w:rsidP="005F1C1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F1C12">
        <w:rPr>
          <w:rFonts w:cstheme="minorHAnsi"/>
          <w:sz w:val="20"/>
          <w:szCs w:val="20"/>
          <w:lang w:val="en-US"/>
        </w:rPr>
        <w:t>NutriSpray è una miscela di tensioattivi, stimolanti e microelementi naturali da utilizzare come fertilizzante fogliare. Il prodotto fornisce microelementi essenziali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F1C12">
        <w:rPr>
          <w:rFonts w:cstheme="minorHAnsi"/>
          <w:sz w:val="20"/>
          <w:szCs w:val="20"/>
          <w:lang w:val="en-US"/>
        </w:rPr>
        <w:t>durante l’intero ciclo vegetativo, lasciando un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F1C12">
        <w:rPr>
          <w:rFonts w:cstheme="minorHAnsi"/>
          <w:sz w:val="20"/>
          <w:szCs w:val="20"/>
          <w:lang w:val="en-US"/>
        </w:rPr>
        <w:t>rivestimento naturale sulle foglie che le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F1C12">
        <w:rPr>
          <w:rFonts w:cstheme="minorHAnsi"/>
          <w:sz w:val="20"/>
          <w:szCs w:val="20"/>
          <w:lang w:val="en-US"/>
        </w:rPr>
        <w:t>protegge e le nutre. NutriSpray può essere utilizzato per la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F1C12">
        <w:rPr>
          <w:rFonts w:cstheme="minorHAnsi"/>
          <w:sz w:val="20"/>
          <w:szCs w:val="20"/>
          <w:lang w:val="en-US"/>
        </w:rPr>
        <w:t>concimazione generica 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F1C12">
        <w:rPr>
          <w:rFonts w:cstheme="minorHAnsi"/>
          <w:sz w:val="20"/>
          <w:szCs w:val="20"/>
          <w:lang w:val="en-US"/>
        </w:rPr>
        <w:t>per correggere le carenze.</w:t>
      </w:r>
    </w:p>
    <w:p w:rsidR="005F1C12" w:rsidRPr="00C4051E" w:rsidRDefault="005F1C12" w:rsidP="005F1C1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PERCHÉ UTILIZZARE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>
        <w:rPr>
          <w:rFonts w:cstheme="minorHAnsi"/>
          <w:b/>
          <w:bCs/>
          <w:sz w:val="20"/>
          <w:szCs w:val="20"/>
          <w:lang w:val="en-US"/>
        </w:rPr>
        <w:t>NUTRISPRAY</w:t>
      </w:r>
      <w:r w:rsidR="001F5830"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5F1C12" w:rsidRPr="005F1C12" w:rsidRDefault="005F1C12" w:rsidP="005F1C1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F1C12">
        <w:rPr>
          <w:rFonts w:cstheme="minorHAnsi"/>
          <w:sz w:val="20"/>
          <w:szCs w:val="20"/>
          <w:lang w:val="en-US"/>
        </w:rPr>
        <w:t>• Lascia sulla superficie fogliare uno strato attivo che contiene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F1C12">
        <w:rPr>
          <w:rFonts w:cstheme="minorHAnsi"/>
          <w:sz w:val="20"/>
          <w:szCs w:val="20"/>
          <w:lang w:val="en-US"/>
        </w:rPr>
        <w:t>microelementi</w:t>
      </w:r>
    </w:p>
    <w:p w:rsidR="005F1C12" w:rsidRPr="005F1C12" w:rsidRDefault="005F1C12" w:rsidP="005F1C1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F1C12">
        <w:rPr>
          <w:rFonts w:cstheme="minorHAnsi"/>
          <w:sz w:val="20"/>
          <w:szCs w:val="20"/>
          <w:lang w:val="en-US"/>
        </w:rPr>
        <w:t>• Lo strato viene completamente biodegradato nell’arco di 10-15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F1C12">
        <w:rPr>
          <w:rFonts w:cstheme="minorHAnsi"/>
          <w:sz w:val="20"/>
          <w:szCs w:val="20"/>
          <w:lang w:val="en-US"/>
        </w:rPr>
        <w:t>giorni</w:t>
      </w:r>
    </w:p>
    <w:p w:rsidR="005F1C12" w:rsidRPr="005F1C12" w:rsidRDefault="005F1C12" w:rsidP="005F1C1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F1C12">
        <w:rPr>
          <w:rFonts w:cstheme="minorHAnsi"/>
          <w:sz w:val="20"/>
          <w:szCs w:val="20"/>
          <w:lang w:val="en-US"/>
        </w:rPr>
        <w:t>• Assorbimento rapido delle sostanze nutritive</w:t>
      </w:r>
    </w:p>
    <w:p w:rsidR="00437D33" w:rsidRDefault="005F1C12" w:rsidP="005F1C1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F1C12">
        <w:rPr>
          <w:rFonts w:cstheme="minorHAnsi"/>
          <w:sz w:val="20"/>
          <w:szCs w:val="20"/>
          <w:lang w:val="en-US"/>
        </w:rPr>
        <w:t>• Trattamento rapido delle carenze più comuni</w:t>
      </w:r>
    </w:p>
    <w:p w:rsidR="005F1C12" w:rsidRPr="00C4051E" w:rsidRDefault="005F1C12" w:rsidP="005F1C1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MODALITÀ D’USO DI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>
        <w:rPr>
          <w:rFonts w:cstheme="minorHAnsi"/>
          <w:b/>
          <w:bCs/>
          <w:sz w:val="20"/>
          <w:szCs w:val="20"/>
          <w:lang w:val="en-US"/>
        </w:rPr>
        <w:t>NUTRISPRAY</w:t>
      </w:r>
      <w:r w:rsidR="001F5830"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5F1C12" w:rsidRDefault="005F1C12" w:rsidP="005F1C1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F1C12">
        <w:rPr>
          <w:rFonts w:cstheme="minorHAnsi"/>
          <w:sz w:val="20"/>
          <w:szCs w:val="20"/>
          <w:lang w:val="en-US"/>
        </w:rPr>
        <w:t>Nutrispray può essere utilizzato come una sostanza nutritiva regolare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F1C12">
        <w:rPr>
          <w:rFonts w:cstheme="minorHAnsi"/>
          <w:sz w:val="20"/>
          <w:szCs w:val="20"/>
          <w:lang w:val="en-US"/>
        </w:rPr>
        <w:t>o per trattare le carenze in caso di un blocco delle sostanze nutritive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F1C12">
        <w:rPr>
          <w:rFonts w:cstheme="minorHAnsi"/>
          <w:sz w:val="20"/>
          <w:szCs w:val="20"/>
          <w:lang w:val="en-US"/>
        </w:rPr>
        <w:t>nel vostro substrato.</w:t>
      </w:r>
    </w:p>
    <w:p w:rsidR="005F1C12" w:rsidRPr="005F1C12" w:rsidRDefault="005F1C12" w:rsidP="005F1C1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5F1C12" w:rsidRPr="005F1C12" w:rsidRDefault="005F1C12" w:rsidP="005F1C1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F1C12">
        <w:rPr>
          <w:rFonts w:cstheme="minorHAnsi"/>
          <w:sz w:val="20"/>
          <w:szCs w:val="20"/>
          <w:lang w:val="en-US"/>
        </w:rPr>
        <w:t>Non utilizzare il prodotto concentrato; diluirlo sempre con acqua.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F1C12">
        <w:rPr>
          <w:rFonts w:cstheme="minorHAnsi"/>
          <w:sz w:val="20"/>
          <w:szCs w:val="20"/>
          <w:lang w:val="en-US"/>
        </w:rPr>
        <w:t>Miscelare 2 ml di prodotto in 1 L d’acqua e nebulizzare su tutta la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F1C12">
        <w:rPr>
          <w:rFonts w:cstheme="minorHAnsi"/>
          <w:sz w:val="20"/>
          <w:szCs w:val="20"/>
          <w:lang w:val="en-US"/>
        </w:rPr>
        <w:t>superficie fogliare.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F1C12">
        <w:rPr>
          <w:rFonts w:cstheme="minorHAnsi"/>
          <w:sz w:val="20"/>
          <w:szCs w:val="20"/>
          <w:lang w:val="en-US"/>
        </w:rPr>
        <w:t>Al chiuso: nebulizzare durante le settimane 1, 3 e 5 di fioritura come</w:t>
      </w:r>
    </w:p>
    <w:p w:rsidR="00386DEC" w:rsidRPr="00C4051E" w:rsidRDefault="005F1C12" w:rsidP="005F1C1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F1C12">
        <w:rPr>
          <w:rFonts w:cstheme="minorHAnsi"/>
          <w:sz w:val="20"/>
          <w:szCs w:val="20"/>
          <w:lang w:val="en-US"/>
        </w:rPr>
        <w:t>concime generico.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F1C12">
        <w:rPr>
          <w:rFonts w:cstheme="minorHAnsi"/>
          <w:sz w:val="20"/>
          <w:szCs w:val="20"/>
          <w:lang w:val="en-US"/>
        </w:rPr>
        <w:t>All’aperto: nebulizzare una settimana dopo la messa a dimora, poi una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F1C12">
        <w:rPr>
          <w:rFonts w:cstheme="minorHAnsi"/>
          <w:sz w:val="20"/>
          <w:szCs w:val="20"/>
          <w:lang w:val="en-US"/>
        </w:rPr>
        <w:t>volta al mese fino al raccolto.</w:t>
      </w:r>
    </w:p>
    <w:sectPr w:rsidR="00386DEC" w:rsidRPr="00C40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B9A" w:rsidRDefault="00F40B9A" w:rsidP="0096371B">
      <w:pPr>
        <w:spacing w:after="0" w:line="240" w:lineRule="auto"/>
      </w:pPr>
      <w:r>
        <w:separator/>
      </w:r>
    </w:p>
  </w:endnote>
  <w:endnote w:type="continuationSeparator" w:id="0">
    <w:p w:rsidR="00F40B9A" w:rsidRDefault="00F40B9A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B9A" w:rsidRDefault="00F40B9A" w:rsidP="0096371B">
      <w:pPr>
        <w:spacing w:after="0" w:line="240" w:lineRule="auto"/>
      </w:pPr>
      <w:r>
        <w:separator/>
      </w:r>
    </w:p>
  </w:footnote>
  <w:footnote w:type="continuationSeparator" w:id="0">
    <w:p w:rsidR="00F40B9A" w:rsidRDefault="00F40B9A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27BDC"/>
    <w:rsid w:val="00142F20"/>
    <w:rsid w:val="001B294D"/>
    <w:rsid w:val="001F3904"/>
    <w:rsid w:val="001F5830"/>
    <w:rsid w:val="00237A8A"/>
    <w:rsid w:val="002466EA"/>
    <w:rsid w:val="00386DEC"/>
    <w:rsid w:val="003E35E9"/>
    <w:rsid w:val="00437D33"/>
    <w:rsid w:val="00445A7E"/>
    <w:rsid w:val="004D4E94"/>
    <w:rsid w:val="005C43EE"/>
    <w:rsid w:val="005F1C12"/>
    <w:rsid w:val="00613810"/>
    <w:rsid w:val="006243EB"/>
    <w:rsid w:val="00641267"/>
    <w:rsid w:val="00695BDF"/>
    <w:rsid w:val="006C374D"/>
    <w:rsid w:val="007B3E74"/>
    <w:rsid w:val="007D63C2"/>
    <w:rsid w:val="00815E03"/>
    <w:rsid w:val="00822092"/>
    <w:rsid w:val="008D1AE3"/>
    <w:rsid w:val="0096371B"/>
    <w:rsid w:val="009B0A54"/>
    <w:rsid w:val="009D412F"/>
    <w:rsid w:val="009E1894"/>
    <w:rsid w:val="00A311A2"/>
    <w:rsid w:val="00A45259"/>
    <w:rsid w:val="00A50FF1"/>
    <w:rsid w:val="00B225E2"/>
    <w:rsid w:val="00BA7A02"/>
    <w:rsid w:val="00BE0925"/>
    <w:rsid w:val="00C4051E"/>
    <w:rsid w:val="00CA7E92"/>
    <w:rsid w:val="00D05CFF"/>
    <w:rsid w:val="00D4769E"/>
    <w:rsid w:val="00D56068"/>
    <w:rsid w:val="00D65639"/>
    <w:rsid w:val="00D6776B"/>
    <w:rsid w:val="00E24EC2"/>
    <w:rsid w:val="00F40B9A"/>
    <w:rsid w:val="00F76CDF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7060C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4</cp:revision>
  <dcterms:created xsi:type="dcterms:W3CDTF">2019-08-13T14:19:00Z</dcterms:created>
  <dcterms:modified xsi:type="dcterms:W3CDTF">2019-08-13T14:24:00Z</dcterms:modified>
</cp:coreProperties>
</file>