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1A4D9F"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B294D" w:rsidRDefault="001A4D9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1A4D9F" w:rsidRPr="00695BDF" w:rsidRDefault="001A4D9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72FC8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Super-PK è uno stimolatore organico-minerale di fioritura di qualità superiore. Si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A4D9F">
        <w:rPr>
          <w:rFonts w:cstheme="minorHAnsi"/>
          <w:sz w:val="20"/>
          <w:szCs w:val="20"/>
          <w:lang w:val="en-US"/>
        </w:rPr>
        <w:t>tratta di fosforo (P) al 20% e potassio (K) al 23% abbinati ad amminoacidi, che lo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A4D9F">
        <w:rPr>
          <w:rFonts w:cstheme="minorHAnsi"/>
          <w:sz w:val="20"/>
          <w:szCs w:val="20"/>
          <w:lang w:val="en-US"/>
        </w:rPr>
        <w:t>rendono ideale per la stimolazione della fioritura.</w:t>
      </w:r>
    </w:p>
    <w:p w:rsidR="001A4D9F" w:rsidRPr="00C4051E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A4D9F">
        <w:rPr>
          <w:rFonts w:cstheme="minorHAnsi"/>
          <w:b/>
          <w:bCs/>
          <w:sz w:val="20"/>
          <w:szCs w:val="20"/>
          <w:lang w:val="en-US"/>
        </w:rPr>
        <w:t>SUPER-PK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Pr="001A4D9F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• Prodotto organico-minerale di qualità superiore</w:t>
      </w:r>
    </w:p>
    <w:p w:rsidR="001A4D9F" w:rsidRPr="001A4D9F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• Molto concentrato</w:t>
      </w:r>
    </w:p>
    <w:p w:rsidR="00372FC8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• Contiene L-amminoacidi</w:t>
      </w:r>
    </w:p>
    <w:p w:rsidR="001A4D9F" w:rsidRPr="00C4051E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A4D9F">
        <w:rPr>
          <w:rFonts w:cstheme="minorHAnsi"/>
          <w:b/>
          <w:bCs/>
          <w:sz w:val="20"/>
          <w:szCs w:val="20"/>
          <w:lang w:val="en-US"/>
        </w:rPr>
        <w:t>SUPER-PK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Utilizzare Super-PK durante la fase di fioritura. Mescolare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A4D9F">
        <w:rPr>
          <w:rFonts w:cstheme="minorHAnsi"/>
          <w:sz w:val="20"/>
          <w:szCs w:val="20"/>
          <w:lang w:val="en-US"/>
        </w:rPr>
        <w:t>2,5-5 ml di prodotto in 10 L d’acqua.</w:t>
      </w:r>
    </w:p>
    <w:p w:rsidR="001A4D9F" w:rsidRPr="001A4D9F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A4D9F">
        <w:rPr>
          <w:rFonts w:cstheme="minorHAnsi"/>
          <w:sz w:val="20"/>
          <w:szCs w:val="20"/>
          <w:lang w:val="en-US"/>
        </w:rPr>
        <w:t>Agitare prima dell’uso. Ideale per l’uso nei sistemi idroponici.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1A4D9F">
        <w:rPr>
          <w:rFonts w:cstheme="minorHAnsi"/>
          <w:sz w:val="20"/>
          <w:szCs w:val="20"/>
          <w:lang w:val="en-US"/>
        </w:rPr>
        <w:t>Completamente idrosolubile.</w:t>
      </w:r>
    </w:p>
    <w:p w:rsidR="001A4D9F" w:rsidRPr="00C4051E" w:rsidRDefault="001A4D9F" w:rsidP="001A4D9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B32" w:rsidRDefault="00AA4B32" w:rsidP="0096371B">
      <w:pPr>
        <w:spacing w:after="0" w:line="240" w:lineRule="auto"/>
      </w:pPr>
      <w:r>
        <w:separator/>
      </w:r>
    </w:p>
  </w:endnote>
  <w:endnote w:type="continuationSeparator" w:id="0">
    <w:p w:rsidR="00AA4B32" w:rsidRDefault="00AA4B3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B32" w:rsidRDefault="00AA4B32" w:rsidP="0096371B">
      <w:pPr>
        <w:spacing w:after="0" w:line="240" w:lineRule="auto"/>
      </w:pPr>
      <w:r>
        <w:separator/>
      </w:r>
    </w:p>
  </w:footnote>
  <w:footnote w:type="continuationSeparator" w:id="0">
    <w:p w:rsidR="00AA4B32" w:rsidRDefault="00AA4B3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372FC8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6371B"/>
    <w:rsid w:val="009B0A54"/>
    <w:rsid w:val="009D412F"/>
    <w:rsid w:val="009E1894"/>
    <w:rsid w:val="00A311A2"/>
    <w:rsid w:val="00A45259"/>
    <w:rsid w:val="00A50FF1"/>
    <w:rsid w:val="00AA4B32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2019-08-13T14:27:00Z</dcterms:created>
  <dcterms:modified xsi:type="dcterms:W3CDTF">2019-08-13T14:27:00Z</dcterms:modified>
</cp:coreProperties>
</file>