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C242C9">
        <w:rPr>
          <w:rFonts w:cstheme="minorHAnsi"/>
          <w:b/>
          <w:bCs/>
          <w:sz w:val="20"/>
          <w:szCs w:val="20"/>
          <w:lang w:val="en-US"/>
        </w:rPr>
        <w:t>SUPER-PK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2A528B" w:rsidRDefault="00C242C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SUPER-PK</w:t>
      </w:r>
    </w:p>
    <w:p w:rsidR="00C242C9" w:rsidRPr="00695BDF" w:rsidRDefault="00C242C9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2A528B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242C9">
        <w:rPr>
          <w:rFonts w:cstheme="minorHAnsi"/>
          <w:sz w:val="20"/>
          <w:szCs w:val="20"/>
          <w:lang w:val="en-US"/>
        </w:rPr>
        <w:t>Super-PK es un estimulador de floración organo-mineral superior. Está compuesto</w:t>
      </w:r>
      <w:r w:rsidRPr="00C242C9">
        <w:rPr>
          <w:rFonts w:cstheme="minorHAnsi"/>
          <w:sz w:val="20"/>
          <w:szCs w:val="20"/>
          <w:lang w:val="en-US"/>
        </w:rPr>
        <w:t xml:space="preserve"> </w:t>
      </w:r>
      <w:r w:rsidRPr="00C242C9">
        <w:rPr>
          <w:rFonts w:cstheme="minorHAnsi"/>
          <w:sz w:val="20"/>
          <w:szCs w:val="20"/>
          <w:lang w:val="en-US"/>
        </w:rPr>
        <w:t>por 20% de fósforo (P) y 23% de potasio (K) combinados con aminoácidos, lo que</w:t>
      </w:r>
      <w:r w:rsidRPr="00C242C9">
        <w:rPr>
          <w:rFonts w:cstheme="minorHAnsi"/>
          <w:sz w:val="20"/>
          <w:szCs w:val="20"/>
          <w:lang w:val="en-US"/>
        </w:rPr>
        <w:t xml:space="preserve"> </w:t>
      </w:r>
      <w:r w:rsidRPr="00C242C9">
        <w:rPr>
          <w:rFonts w:cstheme="minorHAnsi"/>
          <w:sz w:val="20"/>
          <w:szCs w:val="20"/>
          <w:lang w:val="en-US"/>
        </w:rPr>
        <w:t>lo hace ideal para la estimulación del florecimiento.</w:t>
      </w:r>
    </w:p>
    <w:p w:rsidR="00C242C9" w:rsidRPr="00C242C9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C242C9">
        <w:rPr>
          <w:rFonts w:cstheme="minorHAnsi"/>
          <w:b/>
          <w:bCs/>
          <w:sz w:val="20"/>
          <w:szCs w:val="20"/>
          <w:lang w:val="en-US"/>
        </w:rPr>
        <w:t>SUPER-PK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242C9" w:rsidRPr="00C242C9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242C9">
        <w:rPr>
          <w:rFonts w:cstheme="minorHAnsi"/>
          <w:sz w:val="20"/>
          <w:szCs w:val="20"/>
          <w:lang w:val="en-US"/>
        </w:rPr>
        <w:t>• Producto organo-mineral superior</w:t>
      </w:r>
    </w:p>
    <w:p w:rsidR="00C242C9" w:rsidRPr="00C242C9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242C9">
        <w:rPr>
          <w:rFonts w:cstheme="minorHAnsi"/>
          <w:sz w:val="20"/>
          <w:szCs w:val="20"/>
          <w:lang w:val="en-US"/>
        </w:rPr>
        <w:t>• Sumamente concentrado</w:t>
      </w:r>
    </w:p>
    <w:p w:rsidR="002A528B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C242C9">
        <w:rPr>
          <w:rFonts w:cstheme="minorHAnsi"/>
          <w:sz w:val="20"/>
          <w:szCs w:val="20"/>
        </w:rPr>
        <w:t>• Contiene L-aminoácidos</w:t>
      </w:r>
    </w:p>
    <w:p w:rsidR="00C242C9" w:rsidRPr="00C4051E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C242C9">
        <w:rPr>
          <w:rFonts w:cstheme="minorHAnsi"/>
          <w:b/>
          <w:bCs/>
          <w:sz w:val="20"/>
          <w:szCs w:val="20"/>
          <w:lang w:val="en-US"/>
        </w:rPr>
        <w:t>SUPER-PK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242C9" w:rsidRPr="00C242C9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C242C9">
        <w:rPr>
          <w:rFonts w:cstheme="minorHAnsi"/>
          <w:sz w:val="20"/>
          <w:szCs w:val="20"/>
          <w:lang w:val="en-US"/>
        </w:rPr>
        <w:t>Use Super-PK durante la fase de floración. Mezcle de 2,5 a 5 ml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242C9">
        <w:rPr>
          <w:rFonts w:cstheme="minorHAnsi"/>
          <w:sz w:val="20"/>
          <w:szCs w:val="20"/>
          <w:lang w:val="en-US"/>
        </w:rPr>
        <w:t>de Super-PK por cada 10 L de agua.</w:t>
      </w:r>
    </w:p>
    <w:p w:rsidR="00C242C9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A73D75" w:rsidRDefault="00C242C9" w:rsidP="00C242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bookmarkStart w:id="0" w:name="_GoBack"/>
      <w:bookmarkEnd w:id="0"/>
      <w:r w:rsidRPr="00C242C9">
        <w:rPr>
          <w:rFonts w:cstheme="minorHAnsi"/>
          <w:sz w:val="20"/>
          <w:szCs w:val="20"/>
          <w:lang w:val="en-US"/>
        </w:rPr>
        <w:t>Agite bien antes de usar. Ideal para uso en sistemas hidropónicos.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C242C9">
        <w:rPr>
          <w:rFonts w:cstheme="minorHAnsi"/>
          <w:sz w:val="20"/>
          <w:szCs w:val="20"/>
          <w:lang w:val="en-US"/>
        </w:rPr>
        <w:t>Totalmente soluble en agua.</w:t>
      </w:r>
    </w:p>
    <w:sectPr w:rsidR="00386DEC" w:rsidRPr="00A73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919" w:rsidRDefault="00380919" w:rsidP="0096371B">
      <w:pPr>
        <w:spacing w:after="0" w:line="240" w:lineRule="auto"/>
      </w:pPr>
      <w:r>
        <w:separator/>
      </w:r>
    </w:p>
  </w:endnote>
  <w:endnote w:type="continuationSeparator" w:id="0">
    <w:p w:rsidR="00380919" w:rsidRDefault="00380919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919" w:rsidRDefault="00380919" w:rsidP="0096371B">
      <w:pPr>
        <w:spacing w:after="0" w:line="240" w:lineRule="auto"/>
      </w:pPr>
      <w:r>
        <w:separator/>
      </w:r>
    </w:p>
  </w:footnote>
  <w:footnote w:type="continuationSeparator" w:id="0">
    <w:p w:rsidR="00380919" w:rsidRDefault="00380919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E027E"/>
    <w:rsid w:val="00127BDC"/>
    <w:rsid w:val="00142F20"/>
    <w:rsid w:val="001F3904"/>
    <w:rsid w:val="00237A8A"/>
    <w:rsid w:val="002466EA"/>
    <w:rsid w:val="002A528B"/>
    <w:rsid w:val="003803F3"/>
    <w:rsid w:val="00380919"/>
    <w:rsid w:val="00386DEC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A7A02"/>
    <w:rsid w:val="00C242C9"/>
    <w:rsid w:val="00C4051E"/>
    <w:rsid w:val="00CA7E92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2019-08-12T14:27:00Z</dcterms:created>
  <dcterms:modified xsi:type="dcterms:W3CDTF">2019-08-12T14:27:00Z</dcterms:modified>
</cp:coreProperties>
</file>